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603" w:type="dxa"/>
        <w:tblLook w:val="04A0" w:firstRow="1" w:lastRow="0" w:firstColumn="1" w:lastColumn="0" w:noHBand="0" w:noVBand="1"/>
      </w:tblPr>
      <w:tblGrid>
        <w:gridCol w:w="5665"/>
        <w:gridCol w:w="4678"/>
        <w:gridCol w:w="3260"/>
      </w:tblGrid>
      <w:tr w:rsidR="00AC055E" w:rsidRPr="00AB458A" w14:paraId="3D3D59A1" w14:textId="77777777" w:rsidTr="0017621A">
        <w:tc>
          <w:tcPr>
            <w:tcW w:w="5665" w:type="dxa"/>
          </w:tcPr>
          <w:p w14:paraId="6D765CE6" w14:textId="1842DCCB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t>Prekės</w:t>
            </w:r>
            <w:proofErr w:type="spellEnd"/>
            <w:r>
              <w:rPr>
                <w:rFonts w:eastAsia="Calibri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Cs w:val="24"/>
              </w:rPr>
              <w:t>pavadinimas</w:t>
            </w:r>
            <w:proofErr w:type="spellEnd"/>
            <w:r>
              <w:rPr>
                <w:rFonts w:eastAsia="Calibri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Cs w:val="24"/>
              </w:rPr>
              <w:t>kataloge</w:t>
            </w:r>
            <w:proofErr w:type="spellEnd"/>
            <w:r>
              <w:rPr>
                <w:rFonts w:eastAsia="Calibri"/>
                <w:szCs w:val="24"/>
              </w:rPr>
              <w:t xml:space="preserve"> </w:t>
            </w:r>
          </w:p>
        </w:tc>
        <w:tc>
          <w:tcPr>
            <w:tcW w:w="7938" w:type="dxa"/>
            <w:gridSpan w:val="2"/>
          </w:tcPr>
          <w:p w14:paraId="7BB08077" w14:textId="5887773B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 w:rsidRPr="00AC055E">
              <w:rPr>
                <w:rFonts w:eastAsia="Calibri"/>
                <w:szCs w:val="24"/>
              </w:rPr>
              <w:t>Prekės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 </w:t>
            </w:r>
            <w:proofErr w:type="spellStart"/>
            <w:r w:rsidRPr="00AC055E">
              <w:rPr>
                <w:rFonts w:eastAsia="Calibri"/>
                <w:szCs w:val="24"/>
              </w:rPr>
              <w:t>pavadinimas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, </w:t>
            </w:r>
            <w:proofErr w:type="spellStart"/>
            <w:r w:rsidRPr="00AC055E">
              <w:rPr>
                <w:rFonts w:eastAsia="Calibri"/>
                <w:szCs w:val="24"/>
              </w:rPr>
              <w:t>gamintojas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, </w:t>
            </w:r>
            <w:proofErr w:type="spellStart"/>
            <w:r w:rsidRPr="00AC055E">
              <w:rPr>
                <w:rFonts w:eastAsia="Calibri"/>
                <w:szCs w:val="24"/>
              </w:rPr>
              <w:t>prekės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 </w:t>
            </w:r>
            <w:proofErr w:type="spellStart"/>
            <w:r w:rsidRPr="00AC055E">
              <w:rPr>
                <w:rFonts w:eastAsia="Calibri"/>
                <w:szCs w:val="24"/>
              </w:rPr>
              <w:t>kodas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 </w:t>
            </w:r>
            <w:proofErr w:type="spellStart"/>
            <w:r w:rsidRPr="00AC055E">
              <w:rPr>
                <w:rFonts w:eastAsia="Calibri"/>
                <w:szCs w:val="24"/>
              </w:rPr>
              <w:t>ar</w:t>
            </w:r>
            <w:proofErr w:type="spellEnd"/>
            <w:r w:rsidRPr="00AC055E">
              <w:rPr>
                <w:rFonts w:eastAsia="Calibri"/>
                <w:szCs w:val="24"/>
              </w:rPr>
              <w:t xml:space="preserve"> </w:t>
            </w:r>
            <w:proofErr w:type="spellStart"/>
            <w:r w:rsidRPr="00AC055E">
              <w:rPr>
                <w:rFonts w:eastAsia="Calibri"/>
                <w:szCs w:val="24"/>
              </w:rPr>
              <w:t>modelis</w:t>
            </w:r>
            <w:proofErr w:type="spellEnd"/>
          </w:p>
        </w:tc>
      </w:tr>
      <w:tr w:rsidR="00AC055E" w:rsidRPr="00AB458A" w14:paraId="10A7E3EE" w14:textId="77777777" w:rsidTr="00B4443B">
        <w:tc>
          <w:tcPr>
            <w:tcW w:w="5665" w:type="dxa"/>
          </w:tcPr>
          <w:p w14:paraId="75A44DD3" w14:textId="605667F2" w:rsidR="00AC055E" w:rsidRPr="00312F9D" w:rsidRDefault="0059266A" w:rsidP="00AF234C">
            <w:pPr>
              <w:spacing w:line="276" w:lineRule="auto"/>
              <w:jc w:val="center"/>
              <w:rPr>
                <w:rFonts w:eastAsia="Calibri"/>
                <w:i/>
                <w:iCs/>
                <w:color w:val="FF0000"/>
                <w:szCs w:val="24"/>
                <w:lang w:val="lt-LT"/>
              </w:rPr>
            </w:pPr>
            <w:proofErr w:type="spellStart"/>
            <w:r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Biliary</w:t>
            </w:r>
            <w:r w:rsidR="001E505E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l</w:t>
            </w:r>
            <w:proofErr w:type="spellEnd"/>
            <w:r w:rsidR="001E505E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 </w:t>
            </w:r>
            <w:proofErr w:type="spellStart"/>
            <w:r w:rsidR="001E505E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stent</w:t>
            </w:r>
            <w:proofErr w:type="spellEnd"/>
            <w:r w:rsidR="00D37591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 </w:t>
            </w:r>
            <w:proofErr w:type="spellStart"/>
            <w:r w:rsidR="00B327F2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pseudo</w:t>
            </w:r>
            <w:r w:rsidR="00C624B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cyst</w:t>
            </w:r>
            <w:proofErr w:type="spellEnd"/>
          </w:p>
        </w:tc>
        <w:tc>
          <w:tcPr>
            <w:tcW w:w="7938" w:type="dxa"/>
            <w:gridSpan w:val="2"/>
          </w:tcPr>
          <w:p w14:paraId="3893942A" w14:textId="3748B6A6" w:rsidR="00AC055E" w:rsidRPr="00C624B6" w:rsidRDefault="00DB2E51" w:rsidP="00AF234C">
            <w:pPr>
              <w:spacing w:line="276" w:lineRule="auto"/>
              <w:jc w:val="center"/>
              <w:rPr>
                <w:rFonts w:eastAsia="Calibri"/>
                <w:i/>
                <w:iCs/>
                <w:color w:val="FF0000"/>
                <w:szCs w:val="24"/>
                <w:lang w:val="lt-LT"/>
              </w:rPr>
            </w:pPr>
            <w:proofErr w:type="spellStart"/>
            <w:r w:rsidRPr="00C624B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Niti</w:t>
            </w:r>
            <w:proofErr w:type="spellEnd"/>
            <w:r w:rsidRPr="00C624B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-S</w:t>
            </w:r>
            <w:r w:rsidR="00C624B6" w:rsidRPr="00C624B6">
              <w:rPr>
                <w:lang w:val="lt-LT"/>
              </w:rPr>
              <w:t xml:space="preserve"> </w:t>
            </w:r>
            <w:proofErr w:type="spellStart"/>
            <w:r w:rsidR="00C624B6" w:rsidRPr="00C624B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Niti</w:t>
            </w:r>
            <w:proofErr w:type="spellEnd"/>
            <w:r w:rsidR="00C624B6" w:rsidRPr="00C624B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-S  NAGI </w:t>
            </w:r>
            <w:proofErr w:type="spellStart"/>
            <w:r w:rsidR="00C624B6" w:rsidRPr="00C624B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stentai,Taewoong</w:t>
            </w:r>
            <w:proofErr w:type="spellEnd"/>
            <w:r w:rsidR="00C624B6" w:rsidRPr="00C624B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 xml:space="preserve">, kodų serija </w:t>
            </w:r>
            <w:proofErr w:type="spellStart"/>
            <w:r w:rsidR="00C624B6" w:rsidRPr="00C624B6">
              <w:rPr>
                <w:rFonts w:eastAsia="Calibri"/>
                <w:i/>
                <w:iCs/>
                <w:color w:val="FF0000"/>
                <w:szCs w:val="24"/>
                <w:lang w:val="lt-LT"/>
              </w:rPr>
              <w:t>BsxxxxFW</w:t>
            </w:r>
            <w:proofErr w:type="spellEnd"/>
          </w:p>
        </w:tc>
      </w:tr>
      <w:tr w:rsidR="00AC055E" w:rsidRPr="00AB458A" w14:paraId="01D84B4C" w14:textId="77777777" w:rsidTr="00AF234C">
        <w:tc>
          <w:tcPr>
            <w:tcW w:w="5665" w:type="dxa"/>
          </w:tcPr>
          <w:p w14:paraId="0FE38809" w14:textId="77777777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 w:rsidRPr="00AB458A">
              <w:rPr>
                <w:rFonts w:eastAsia="Calibri"/>
                <w:szCs w:val="24"/>
              </w:rPr>
              <w:t>Mokslinės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</w:rPr>
              <w:t>publikacijos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</w:rPr>
              <w:t>duomenys</w:t>
            </w:r>
            <w:proofErr w:type="spellEnd"/>
          </w:p>
        </w:tc>
        <w:tc>
          <w:tcPr>
            <w:tcW w:w="4678" w:type="dxa"/>
          </w:tcPr>
          <w:p w14:paraId="26E6751F" w14:textId="77777777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 w:rsidRPr="00AB458A">
              <w:rPr>
                <w:rFonts w:eastAsia="Calibri"/>
                <w:szCs w:val="24"/>
              </w:rPr>
              <w:t>Mokslinė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</w:rPr>
              <w:t>publikacija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Nr. 1</w:t>
            </w:r>
          </w:p>
        </w:tc>
        <w:tc>
          <w:tcPr>
            <w:tcW w:w="3260" w:type="dxa"/>
          </w:tcPr>
          <w:p w14:paraId="7227F469" w14:textId="77777777" w:rsidR="00AC055E" w:rsidRPr="00AB458A" w:rsidRDefault="00AC055E" w:rsidP="00AF234C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proofErr w:type="spellStart"/>
            <w:r w:rsidRPr="00AB458A">
              <w:rPr>
                <w:rFonts w:eastAsia="Calibri"/>
                <w:szCs w:val="24"/>
              </w:rPr>
              <w:t>Mokslinė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</w:rPr>
              <w:t>publikacija</w:t>
            </w:r>
            <w:proofErr w:type="spellEnd"/>
            <w:r w:rsidRPr="00AB458A">
              <w:rPr>
                <w:rFonts w:eastAsia="Calibri"/>
                <w:szCs w:val="24"/>
              </w:rPr>
              <w:t xml:space="preserve"> Nr. 2</w:t>
            </w:r>
          </w:p>
        </w:tc>
      </w:tr>
      <w:tr w:rsidR="00AC055E" w:rsidRPr="00AB458A" w14:paraId="0E03899A" w14:textId="77777777" w:rsidTr="00AF234C">
        <w:tc>
          <w:tcPr>
            <w:tcW w:w="5665" w:type="dxa"/>
          </w:tcPr>
          <w:p w14:paraId="61CD4C7E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t>Medžiaga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ir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šaltiniai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(ISI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indeksą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turintis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mokslinis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leidinys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>.</w:t>
            </w:r>
          </w:p>
          <w:p w14:paraId="1BFC6C39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t>Nurodyti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ISI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indeksą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tų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metų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kuriais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buvo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išleista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teikiama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publikacija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. </w:t>
            </w:r>
          </w:p>
          <w:p w14:paraId="3DD08725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AB458A">
              <w:rPr>
                <w:rFonts w:eastAsia="Calibri"/>
                <w:szCs w:val="24"/>
                <w:lang w:val="fi-FI"/>
              </w:rPr>
              <w:t xml:space="preserve">ISI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indeksą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sudaro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Thomson Reuters (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pasitikrinti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pvz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>.: http://jcr.incites.thomsonreuters.com)</w:t>
            </w:r>
          </w:p>
        </w:tc>
        <w:tc>
          <w:tcPr>
            <w:tcW w:w="4678" w:type="dxa"/>
          </w:tcPr>
          <w:p w14:paraId="03DD7860" w14:textId="3BF1162B" w:rsidR="00AC055E" w:rsidRPr="00AB458A" w:rsidRDefault="00686049" w:rsidP="007449B3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686049">
              <w:rPr>
                <w:rFonts w:eastAsia="Calibri"/>
                <w:szCs w:val="24"/>
                <w:lang w:val="fi-FI"/>
              </w:rPr>
              <w:t xml:space="preserve">GASTROINTESTINAL ENDOSCOPY 2017/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Gastrointest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Endosc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. 2017 Jun;85(6):1243-1252. 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Endoscopic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"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step-up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approach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"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using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a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dedicated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biflanged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metal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reduces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need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for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direct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necrosectomy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in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walled-off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necrosis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(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videos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>).</w:t>
            </w:r>
          </w:p>
        </w:tc>
        <w:tc>
          <w:tcPr>
            <w:tcW w:w="3260" w:type="dxa"/>
          </w:tcPr>
          <w:p w14:paraId="682F16CA" w14:textId="77777777" w:rsidR="00686049" w:rsidRPr="00686049" w:rsidRDefault="00686049" w:rsidP="00686049">
            <w:pPr>
              <w:spacing w:after="0" w:line="276" w:lineRule="auto"/>
              <w:rPr>
                <w:rFonts w:eastAsia="Calibri"/>
                <w:szCs w:val="24"/>
                <w:lang w:val="fi-FI"/>
              </w:rPr>
            </w:pPr>
            <w:r w:rsidRPr="00686049">
              <w:rPr>
                <w:rFonts w:eastAsia="Calibri"/>
                <w:szCs w:val="24"/>
                <w:lang w:val="fi-FI"/>
              </w:rPr>
              <w:t>ZEITSCHRIFT FUR GASTROENTEROLOGIE 2016 ISI 1.618</w:t>
            </w:r>
          </w:p>
          <w:p w14:paraId="625FBDDC" w14:textId="718A33FF" w:rsidR="00AC055E" w:rsidRPr="00AB458A" w:rsidRDefault="00686049" w:rsidP="00686049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686049">
              <w:rPr>
                <w:rFonts w:eastAsia="Calibri"/>
                <w:szCs w:val="24"/>
                <w:lang w:val="fi-FI"/>
              </w:rPr>
              <w:t xml:space="preserve">Z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Gastroenterol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. 2016 Jan;54(1):26-30.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Endoscopic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therapy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for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infected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pancreatic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necrosis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using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fully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covered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self-expandable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metal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stents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: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combination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transluminal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necrosectomy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transluminal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and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percutaneous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drainage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>.</w:t>
            </w:r>
          </w:p>
        </w:tc>
      </w:tr>
      <w:tr w:rsidR="00AC055E" w:rsidRPr="00AB458A" w14:paraId="19D68FF6" w14:textId="77777777" w:rsidTr="00AF234C">
        <w:tc>
          <w:tcPr>
            <w:tcW w:w="5665" w:type="dxa"/>
          </w:tcPr>
          <w:p w14:paraId="38C282E8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t>Mokslinės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publikacijos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autorius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>/-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iai</w:t>
            </w:r>
            <w:proofErr w:type="spellEnd"/>
          </w:p>
        </w:tc>
        <w:tc>
          <w:tcPr>
            <w:tcW w:w="4678" w:type="dxa"/>
          </w:tcPr>
          <w:p w14:paraId="1924CD55" w14:textId="4A911081" w:rsidR="00AC055E" w:rsidRPr="00AB458A" w:rsidRDefault="00686049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686049">
              <w:rPr>
                <w:rFonts w:eastAsia="Calibri"/>
                <w:szCs w:val="24"/>
                <w:lang w:val="fi-FI"/>
              </w:rPr>
              <w:t>Lakhtakia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S1,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Basha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J1,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Talukdar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R1,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Gupta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R1,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Nabi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Z1,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Ramchandani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M1,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Kumar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BVN1,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Pal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P1,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Kalpala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R1,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Reddy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PM1,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Pradeep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R1, Singh JR1,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Rao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GV1, </w:t>
            </w:r>
            <w:proofErr w:type="spellStart"/>
            <w:r w:rsidRPr="00686049">
              <w:rPr>
                <w:rFonts w:eastAsia="Calibri"/>
                <w:szCs w:val="24"/>
                <w:lang w:val="fi-FI"/>
              </w:rPr>
              <w:t>Reddy</w:t>
            </w:r>
            <w:proofErr w:type="spellEnd"/>
            <w:r w:rsidRPr="00686049">
              <w:rPr>
                <w:rFonts w:eastAsia="Calibri"/>
                <w:szCs w:val="24"/>
                <w:lang w:val="fi-FI"/>
              </w:rPr>
              <w:t xml:space="preserve"> DN1.</w:t>
            </w:r>
          </w:p>
        </w:tc>
        <w:tc>
          <w:tcPr>
            <w:tcW w:w="3260" w:type="dxa"/>
          </w:tcPr>
          <w:p w14:paraId="33E6018F" w14:textId="73BE1B18" w:rsidR="00AC055E" w:rsidRPr="00AB458A" w:rsidRDefault="003D5E91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3D5E91">
              <w:rPr>
                <w:rFonts w:eastAsia="Calibri"/>
                <w:szCs w:val="24"/>
                <w:lang w:val="fi-FI"/>
              </w:rPr>
              <w:t>Albers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D1,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Toermer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T1,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Charton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JP2,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Neuhaus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H2, Schumacher B1.</w:t>
            </w:r>
          </w:p>
        </w:tc>
      </w:tr>
      <w:tr w:rsidR="00AC055E" w:rsidRPr="00AB458A" w14:paraId="50743D08" w14:textId="77777777" w:rsidTr="00AF234C">
        <w:tc>
          <w:tcPr>
            <w:tcW w:w="5665" w:type="dxa"/>
          </w:tcPr>
          <w:p w14:paraId="575D8F02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t>Mokslinio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leidinio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ISI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indeksas</w:t>
            </w:r>
            <w:proofErr w:type="spellEnd"/>
          </w:p>
        </w:tc>
        <w:tc>
          <w:tcPr>
            <w:tcW w:w="4678" w:type="dxa"/>
          </w:tcPr>
          <w:p w14:paraId="3B4413DF" w14:textId="34EBEFB6" w:rsidR="00AC055E" w:rsidRPr="00AB458A" w:rsidRDefault="003D5E91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3D5E91">
              <w:rPr>
                <w:rFonts w:eastAsia="Calibri"/>
                <w:szCs w:val="24"/>
                <w:lang w:val="fi-FI"/>
              </w:rPr>
              <w:t>ISI 7.204</w:t>
            </w:r>
          </w:p>
        </w:tc>
        <w:tc>
          <w:tcPr>
            <w:tcW w:w="3260" w:type="dxa"/>
          </w:tcPr>
          <w:p w14:paraId="3DBB2B2D" w14:textId="19A013EC" w:rsidR="00AC055E" w:rsidRPr="00AB458A" w:rsidRDefault="003D5E91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3D5E91">
              <w:rPr>
                <w:rFonts w:eastAsia="Calibri"/>
                <w:szCs w:val="24"/>
                <w:lang w:val="fi-FI"/>
              </w:rPr>
              <w:t>ISI 1.618</w:t>
            </w:r>
          </w:p>
        </w:tc>
      </w:tr>
      <w:tr w:rsidR="00AC055E" w:rsidRPr="00AB458A" w14:paraId="146B4BAC" w14:textId="77777777" w:rsidTr="00AF234C">
        <w:tc>
          <w:tcPr>
            <w:tcW w:w="5665" w:type="dxa"/>
          </w:tcPr>
          <w:p w14:paraId="16563406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t>Tyrimo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populiacija</w:t>
            </w:r>
            <w:proofErr w:type="spellEnd"/>
          </w:p>
        </w:tc>
        <w:tc>
          <w:tcPr>
            <w:tcW w:w="4678" w:type="dxa"/>
          </w:tcPr>
          <w:p w14:paraId="04169509" w14:textId="488742D9" w:rsidR="00AC055E" w:rsidRPr="00AB458A" w:rsidRDefault="003D5E91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>
              <w:rPr>
                <w:rFonts w:eastAsia="Calibri"/>
                <w:szCs w:val="24"/>
                <w:lang w:val="fi-FI"/>
              </w:rPr>
              <w:t>200</w:t>
            </w:r>
          </w:p>
        </w:tc>
        <w:tc>
          <w:tcPr>
            <w:tcW w:w="3260" w:type="dxa"/>
          </w:tcPr>
          <w:p w14:paraId="71603F5A" w14:textId="0C6CE474" w:rsidR="00AC055E" w:rsidRPr="00AB458A" w:rsidRDefault="003D5E91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>
              <w:rPr>
                <w:rFonts w:eastAsia="Calibri"/>
                <w:szCs w:val="24"/>
                <w:lang w:val="fi-FI"/>
              </w:rPr>
              <w:t>13</w:t>
            </w:r>
          </w:p>
        </w:tc>
      </w:tr>
      <w:tr w:rsidR="00AC055E" w:rsidRPr="00AB458A" w14:paraId="04FC4E0D" w14:textId="77777777" w:rsidTr="00AF234C">
        <w:tc>
          <w:tcPr>
            <w:tcW w:w="5665" w:type="dxa"/>
          </w:tcPr>
          <w:p w14:paraId="7342AF37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t>Tyrimo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rezultatai</w:t>
            </w:r>
            <w:proofErr w:type="spellEnd"/>
          </w:p>
        </w:tc>
        <w:tc>
          <w:tcPr>
            <w:tcW w:w="4678" w:type="dxa"/>
          </w:tcPr>
          <w:p w14:paraId="6048D7DA" w14:textId="2E2DA45E" w:rsidR="00AC055E" w:rsidRPr="00AB458A" w:rsidRDefault="003D5E91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3D5E91">
              <w:rPr>
                <w:rFonts w:eastAsia="Calibri"/>
                <w:szCs w:val="24"/>
                <w:lang w:val="fi-FI"/>
              </w:rPr>
              <w:t>Two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hundred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five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WON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underwent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EUS-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guided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drainage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using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BFMSs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. Technical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success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achieved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in 203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(99%).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Periprocedure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adverse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events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occurred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in 8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(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bleeding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in 6,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perforation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in 2).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Clinical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success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BFMSs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alone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seen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in 153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(74.6%).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Reintervention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adopting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step-up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approach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required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in 49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r w:rsidRPr="003D5E91">
              <w:rPr>
                <w:rFonts w:eastAsia="Calibri"/>
                <w:szCs w:val="24"/>
                <w:lang w:val="fi-FI"/>
              </w:rPr>
              <w:lastRenderedPageBreak/>
              <w:t xml:space="preserve">(23.9%).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Incremental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success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achieved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in 10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step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1, 16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step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2, and 19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step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3.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Overall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clinical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success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achieved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in 198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(96.5%),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with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DEN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required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in 9.2%.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Four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failed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treatment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and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required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surgery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(2)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or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percutaneous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drainage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(2).</w:t>
            </w:r>
          </w:p>
        </w:tc>
        <w:tc>
          <w:tcPr>
            <w:tcW w:w="3260" w:type="dxa"/>
          </w:tcPr>
          <w:p w14:paraId="658D9E3C" w14:textId="41602626" w:rsidR="00AC055E" w:rsidRPr="00AB458A" w:rsidRDefault="003D5E91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r w:rsidRPr="003D5E91">
              <w:rPr>
                <w:rFonts w:eastAsia="Calibri"/>
                <w:szCs w:val="24"/>
                <w:lang w:val="fi-FI"/>
              </w:rPr>
              <w:lastRenderedPageBreak/>
              <w:t xml:space="preserve">A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sustained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clinical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success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achieved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in 12 of 13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cases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(CRP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before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therapy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23.5 ± 14.4 mg/L,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after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3.1 ± 2.6 mg/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lL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).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Discharge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occurred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after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2.5 ± 22.4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days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self-expanding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metal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stent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extracted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after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82.5 ± 56.6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lastRenderedPageBreak/>
              <w:t>days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.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Mean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follow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up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8.5 ± 5.9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months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>.</w:t>
            </w:r>
          </w:p>
        </w:tc>
      </w:tr>
      <w:tr w:rsidR="00AC055E" w:rsidRPr="00AB458A" w14:paraId="288773A9" w14:textId="77777777" w:rsidTr="00AF234C">
        <w:tc>
          <w:tcPr>
            <w:tcW w:w="5665" w:type="dxa"/>
          </w:tcPr>
          <w:p w14:paraId="5E4AEB90" w14:textId="77777777" w:rsidR="00AC055E" w:rsidRPr="00AB458A" w:rsidRDefault="00AC055E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AB458A">
              <w:rPr>
                <w:rFonts w:eastAsia="Calibri"/>
                <w:szCs w:val="24"/>
                <w:lang w:val="fi-FI"/>
              </w:rPr>
              <w:lastRenderedPageBreak/>
              <w:t>Tyrimo</w:t>
            </w:r>
            <w:proofErr w:type="spellEnd"/>
            <w:r w:rsidRPr="00AB458A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AB458A">
              <w:rPr>
                <w:rFonts w:eastAsia="Calibri"/>
                <w:szCs w:val="24"/>
                <w:lang w:val="fi-FI"/>
              </w:rPr>
              <w:t>išvados</w:t>
            </w:r>
            <w:proofErr w:type="spellEnd"/>
          </w:p>
        </w:tc>
        <w:tc>
          <w:tcPr>
            <w:tcW w:w="4678" w:type="dxa"/>
          </w:tcPr>
          <w:p w14:paraId="7B3BDEE8" w14:textId="0CBA4BD7" w:rsidR="00AC055E" w:rsidRPr="00AB458A" w:rsidRDefault="003D5E91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3D5E91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endoscopic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step-up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approach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using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BFMSs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was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safe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effective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, and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yielded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successful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outcomes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in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most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patients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reducing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the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need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for DEN.</w:t>
            </w:r>
          </w:p>
        </w:tc>
        <w:tc>
          <w:tcPr>
            <w:tcW w:w="3260" w:type="dxa"/>
          </w:tcPr>
          <w:p w14:paraId="42E36431" w14:textId="369DFEF6" w:rsidR="00AC055E" w:rsidRPr="00AB458A" w:rsidRDefault="003D5E91" w:rsidP="00AF234C">
            <w:pPr>
              <w:spacing w:line="276" w:lineRule="auto"/>
              <w:rPr>
                <w:rFonts w:eastAsia="Calibri"/>
                <w:szCs w:val="24"/>
                <w:lang w:val="fi-FI"/>
              </w:rPr>
            </w:pPr>
            <w:proofErr w:type="spellStart"/>
            <w:r w:rsidRPr="003D5E91">
              <w:rPr>
                <w:rFonts w:eastAsia="Calibri"/>
                <w:szCs w:val="24"/>
                <w:lang w:val="fi-FI"/>
              </w:rPr>
              <w:t>Our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concept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of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combining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transluminal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drainage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direct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endoscopic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necrosectomy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and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percutaneuos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drainage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offers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a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safe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and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reliable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alternative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to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surgery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,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even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in case of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extended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 xml:space="preserve"> </w:t>
            </w:r>
            <w:proofErr w:type="spellStart"/>
            <w:r w:rsidRPr="003D5E91">
              <w:rPr>
                <w:rFonts w:eastAsia="Calibri"/>
                <w:szCs w:val="24"/>
                <w:lang w:val="fi-FI"/>
              </w:rPr>
              <w:t>necrosis</w:t>
            </w:r>
            <w:proofErr w:type="spellEnd"/>
            <w:r w:rsidRPr="003D5E91">
              <w:rPr>
                <w:rFonts w:eastAsia="Calibri"/>
                <w:szCs w:val="24"/>
                <w:lang w:val="fi-FI"/>
              </w:rPr>
              <w:t>.</w:t>
            </w:r>
          </w:p>
        </w:tc>
      </w:tr>
    </w:tbl>
    <w:p w14:paraId="2CAA6723" w14:textId="77777777" w:rsidR="009B7D28" w:rsidRDefault="009B7D28"/>
    <w:p w14:paraId="59830780" w14:textId="77777777" w:rsidR="00312F9D" w:rsidRDefault="00312F9D"/>
    <w:p w14:paraId="7303ED44" w14:textId="77777777" w:rsidR="00312F9D" w:rsidRDefault="00312F9D"/>
    <w:p w14:paraId="6B797310" w14:textId="77777777" w:rsidR="00312F9D" w:rsidRPr="00312F9D" w:rsidRDefault="00312F9D">
      <w:pPr>
        <w:rPr>
          <w:lang w:val="en-LT"/>
        </w:rPr>
      </w:pPr>
    </w:p>
    <w:sectPr w:rsidR="00312F9D" w:rsidRPr="00312F9D" w:rsidSect="00AC055E"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55E"/>
    <w:rsid w:val="00032EDF"/>
    <w:rsid w:val="001E505E"/>
    <w:rsid w:val="00312F9D"/>
    <w:rsid w:val="003D5E91"/>
    <w:rsid w:val="004579F2"/>
    <w:rsid w:val="004F2703"/>
    <w:rsid w:val="0059266A"/>
    <w:rsid w:val="005D5001"/>
    <w:rsid w:val="00686049"/>
    <w:rsid w:val="006F0C1D"/>
    <w:rsid w:val="00712D4E"/>
    <w:rsid w:val="007449B3"/>
    <w:rsid w:val="00865408"/>
    <w:rsid w:val="008C67F3"/>
    <w:rsid w:val="008E45F9"/>
    <w:rsid w:val="009B7D28"/>
    <w:rsid w:val="00A2691F"/>
    <w:rsid w:val="00AC055E"/>
    <w:rsid w:val="00AE330F"/>
    <w:rsid w:val="00B327F2"/>
    <w:rsid w:val="00C624B6"/>
    <w:rsid w:val="00CD157F"/>
    <w:rsid w:val="00D37591"/>
    <w:rsid w:val="00DB2E51"/>
    <w:rsid w:val="00DB6F78"/>
    <w:rsid w:val="00E3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BBD486"/>
  <w15:chartTrackingRefBased/>
  <w15:docId w15:val="{819CF5FD-E725-47B6-A09F-F8C62AD94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55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FA8735753D34DA9EE10F8DFB36D64" ma:contentTypeVersion="17" ma:contentTypeDescription="Create a new document." ma:contentTypeScope="" ma:versionID="6232e8910703771a469585e097d79d2e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9000a5c04c8ded1537420f90852ecb9c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D99BE1-C55E-554C-A9F5-9050B6036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761658-14B9-4E28-8864-72D7A94D55AD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3.xml><?xml version="1.0" encoding="utf-8"?>
<ds:datastoreItem xmlns:ds="http://schemas.openxmlformats.org/officeDocument/2006/customXml" ds:itemID="{1C63A0C7-DD85-4F44-BA09-98A99C7CC5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9E6D8B-2632-4880-9415-A2A30B98C8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Laima Vilemaitė</dc:creator>
  <cp:keywords/>
  <dc:description/>
  <cp:lastModifiedBy>Vaidas Večkys</cp:lastModifiedBy>
  <cp:revision>2</cp:revision>
  <dcterms:created xsi:type="dcterms:W3CDTF">2023-03-28T07:27:00Z</dcterms:created>
  <dcterms:modified xsi:type="dcterms:W3CDTF">2023-03-28T07:27:00Z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